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46E214F" w:rsidP="7C6CC138" w:rsidRDefault="246E214F" w14:paraId="3DF09C6E" w14:textId="429173F1">
      <w:pPr>
        <w:pStyle w:val="Normal"/>
        <w:jc w:val="center"/>
        <w:rPr>
          <w:rFonts w:ascii="Arial" w:hAnsi="Arial" w:eastAsia="Arial" w:cs="Arial"/>
          <w:b w:val="1"/>
          <w:bCs w:val="1"/>
          <w:strike w:val="0"/>
          <w:dstrike w:val="0"/>
          <w:sz w:val="28"/>
          <w:szCs w:val="28"/>
        </w:rPr>
      </w:pPr>
      <w:r w:rsidRPr="7C6CC138" w:rsidR="698BDDF4">
        <w:rPr>
          <w:b w:val="1"/>
          <w:bCs w:val="1"/>
        </w:rPr>
        <w:t>a</w:t>
      </w:r>
      <w:r w:rsidRPr="7C6CC138" w:rsidR="596E9A79">
        <w:rPr>
          <w:b w:val="1"/>
          <w:bCs w:val="1"/>
        </w:rPr>
        <w:t>nother</w:t>
      </w:r>
      <w:r w:rsidRPr="7C6CC138" w:rsidR="21F831DB">
        <w:rPr>
          <w:b w:val="1"/>
          <w:bCs w:val="1"/>
        </w:rPr>
        <w:t xml:space="preserve"> y SEC </w:t>
      </w:r>
      <w:r w:rsidRPr="7C6CC138" w:rsidR="21F831DB">
        <w:rPr>
          <w:b w:val="1"/>
          <w:bCs w:val="1"/>
        </w:rPr>
        <w:t>Newgate</w:t>
      </w:r>
      <w:r w:rsidRPr="7C6CC138" w:rsidR="21F831DB">
        <w:rPr>
          <w:b w:val="1"/>
          <w:bCs w:val="1"/>
        </w:rPr>
        <w:t xml:space="preserve"> Colombia</w:t>
      </w:r>
      <w:r w:rsidRPr="7C6CC138" w:rsidR="596E9A79">
        <w:rPr>
          <w:b w:val="1"/>
          <w:bCs w:val="1"/>
        </w:rPr>
        <w:t xml:space="preserve"> destacan con 16 casos finalistas</w:t>
      </w:r>
      <w:r w:rsidRPr="7C6CC138" w:rsidR="1823EB92">
        <w:rPr>
          <w:b w:val="1"/>
          <w:bCs w:val="1"/>
        </w:rPr>
        <w:t xml:space="preserve"> </w:t>
      </w:r>
      <w:r w:rsidRPr="7C6CC138" w:rsidR="2739A492">
        <w:rPr>
          <w:b w:val="1"/>
          <w:bCs w:val="1"/>
        </w:rPr>
        <w:t>en</w:t>
      </w:r>
      <w:r w:rsidRPr="7C6CC138" w:rsidR="1823EB92">
        <w:rPr>
          <w:b w:val="1"/>
          <w:bCs w:val="1"/>
        </w:rPr>
        <w:t xml:space="preserve"> los premios</w:t>
      </w:r>
      <w:r w:rsidRPr="7C6CC138" w:rsidR="0F7526C6">
        <w:rPr>
          <w:b w:val="1"/>
          <w:bCs w:val="1"/>
        </w:rPr>
        <w:t xml:space="preserve"> </w:t>
      </w:r>
      <w:r w:rsidRPr="7C6CC138" w:rsidR="1823EB92">
        <w:rPr>
          <w:b w:val="1"/>
          <w:bCs w:val="1"/>
        </w:rPr>
        <w:t>SABRE</w:t>
      </w:r>
      <w:r w:rsidRPr="7C6CC138" w:rsidR="44EFD97C">
        <w:rPr>
          <w:b w:val="1"/>
          <w:bCs w:val="1"/>
        </w:rPr>
        <w:t xml:space="preserve"> </w:t>
      </w:r>
      <w:r w:rsidRPr="7C6CC138" w:rsidR="44EFD97C">
        <w:rPr>
          <w:b w:val="1"/>
          <w:bCs w:val="1"/>
        </w:rPr>
        <w:t>Awards</w:t>
      </w:r>
      <w:r w:rsidRPr="7C6CC138" w:rsidR="44EFD97C">
        <w:rPr>
          <w:b w:val="1"/>
          <w:bCs w:val="1"/>
        </w:rPr>
        <w:t xml:space="preserve"> </w:t>
      </w:r>
      <w:r w:rsidRPr="7C6CC138" w:rsidR="44EFD97C">
        <w:rPr>
          <w:b w:val="1"/>
          <w:bCs w:val="1"/>
        </w:rPr>
        <w:t>Latin</w:t>
      </w:r>
      <w:r w:rsidRPr="7C6CC138" w:rsidR="44EFD97C">
        <w:rPr>
          <w:b w:val="1"/>
          <w:bCs w:val="1"/>
        </w:rPr>
        <w:t xml:space="preserve"> </w:t>
      </w:r>
      <w:r w:rsidRPr="7C6CC138" w:rsidR="44EFD97C">
        <w:rPr>
          <w:b w:val="1"/>
          <w:bCs w:val="1"/>
        </w:rPr>
        <w:t>America</w:t>
      </w:r>
      <w:r w:rsidRPr="7C6CC138" w:rsidR="1823EB92">
        <w:rPr>
          <w:b w:val="1"/>
          <w:bCs w:val="1"/>
        </w:rPr>
        <w:t xml:space="preserve"> 2024</w:t>
      </w:r>
    </w:p>
    <w:p w:rsidR="246E214F" w:rsidP="7C6CC138" w:rsidRDefault="246E214F" w14:paraId="6DFACDB9" w14:textId="65B87F36">
      <w:pPr>
        <w:pStyle w:val="ListParagraph"/>
        <w:ind w:left="720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246E214F" w:rsidP="7C6CC138" w:rsidRDefault="246E214F" w14:paraId="159B0B34" w14:textId="62D56BE9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s-ES"/>
        </w:rPr>
      </w:pPr>
      <w:r w:rsidRPr="7C6CC138" w:rsidR="1823EB92"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s-ES"/>
        </w:rPr>
        <w:t xml:space="preserve">Con 13 casos en </w:t>
      </w:r>
      <w:r w:rsidRPr="7C6CC138" w:rsidR="1823EB92"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s-ES"/>
        </w:rPr>
        <w:t>another</w:t>
      </w:r>
      <w:r w:rsidRPr="7C6CC138" w:rsidR="1823EB92"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s-ES"/>
        </w:rPr>
        <w:t>, y tres de SEC Newgate Colombia, las agencias hermanas de SEC Newgate logran un récord de nominaciones finalistas en los premios SABRE en América Latina.</w:t>
      </w:r>
    </w:p>
    <w:p w:rsidR="246E214F" w:rsidP="7C6CC138" w:rsidRDefault="246E214F" w14:paraId="306A28D8" w14:textId="71874311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</w:pPr>
      <w:r w:rsidRPr="7C6CC138" w:rsidR="07E5F0E8"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s-ES"/>
        </w:rPr>
        <w:t xml:space="preserve">Los premios SABRE </w:t>
      </w:r>
      <w:r w:rsidRPr="7C6CC138" w:rsidR="07E5F0E8"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s-ES"/>
        </w:rPr>
        <w:t>Latin</w:t>
      </w:r>
      <w:r w:rsidRPr="7C6CC138" w:rsidR="07E5F0E8"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s-ES"/>
        </w:rPr>
        <w:t xml:space="preserve"> </w:t>
      </w:r>
      <w:r w:rsidRPr="7C6CC138" w:rsidR="07E5F0E8"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s-ES"/>
        </w:rPr>
        <w:t>America</w:t>
      </w:r>
      <w:r w:rsidRPr="7C6CC138" w:rsidR="07E5F0E8">
        <w:rPr>
          <w:rFonts w:ascii="Arial" w:hAnsi="Arial" w:eastAsia="Arial" w:cs="Arial"/>
          <w:b w:val="0"/>
          <w:bCs w:val="0"/>
          <w:i w:val="1"/>
          <w:iCs w:val="1"/>
          <w:noProof w:val="0"/>
          <w:sz w:val="20"/>
          <w:szCs w:val="20"/>
          <w:lang w:val="es-ES"/>
        </w:rPr>
        <w:t xml:space="preserve"> 2024 </w:t>
      </w:r>
      <w:r w:rsidRPr="7C6CC138" w:rsidR="07E5F0E8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se llevará a cabo el 24 de septiembre en São Paulo, Brasil.</w:t>
      </w:r>
    </w:p>
    <w:p w:rsidR="246E214F" w:rsidP="7C6CC138" w:rsidRDefault="246E214F" w14:paraId="4C199B2B" w14:textId="6945C937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15C7FC5" w:rsidR="2FC562A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Ciudad de México</w:t>
      </w:r>
      <w:r w:rsidRPr="315C7FC5" w:rsidR="756CAC3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</w:t>
      </w:r>
      <w:r w:rsidRPr="315C7FC5" w:rsidR="1EEE41C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8 </w:t>
      </w:r>
      <w:r w:rsidRPr="315C7FC5" w:rsidR="756CAC3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de agosto de 2024. –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Las agencias SEC 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Newgate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Colombia y </w:t>
      </w:r>
      <w:r w:rsidRPr="315C7FC5" w:rsidR="756CAC3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another</w:t>
      </w:r>
      <w:r w:rsidRPr="315C7FC5" w:rsidR="756CAC3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,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15C7FC5" w:rsidR="03CFB9F6">
        <w:rPr>
          <w:rFonts w:ascii="Arial" w:hAnsi="Arial" w:eastAsia="Arial" w:cs="Arial"/>
          <w:noProof w:val="0"/>
          <w:sz w:val="22"/>
          <w:szCs w:val="22"/>
          <w:lang w:val="es-ES"/>
        </w:rPr>
        <w:t>integrantes</w:t>
      </w:r>
      <w:r w:rsidRPr="315C7FC5" w:rsidR="4944C6D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15C7FC5" w:rsidR="27223C8C">
        <w:rPr>
          <w:rFonts w:ascii="Arial" w:hAnsi="Arial" w:eastAsia="Arial" w:cs="Arial"/>
          <w:noProof w:val="0"/>
          <w:sz w:val="22"/>
          <w:szCs w:val="22"/>
          <w:lang w:val="es-ES"/>
        </w:rPr>
        <w:t>en América Latina</w:t>
      </w:r>
      <w:r w:rsidRPr="315C7FC5" w:rsidR="605D2F7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</w:t>
      </w:r>
      <w:r w:rsidRPr="315C7FC5" w:rsidR="32C3E7F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 grupo </w:t>
      </w:r>
      <w:r w:rsidRPr="315C7FC5" w:rsidR="48F8B04E">
        <w:rPr>
          <w:rFonts w:ascii="Arial" w:hAnsi="Arial" w:eastAsia="Arial" w:cs="Arial"/>
          <w:noProof w:val="0"/>
          <w:sz w:val="22"/>
          <w:szCs w:val="22"/>
          <w:lang w:val="es-ES"/>
        </w:rPr>
        <w:t>global de comunicación estratégica, gestión de reputación</w:t>
      </w:r>
      <w:r w:rsidRPr="315C7FC5" w:rsidR="605D2F7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15C7FC5" w:rsidR="14616AE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 investigación </w:t>
      </w:r>
      <w:r w:rsidRPr="315C7FC5" w:rsidR="605D2F7F">
        <w:rPr>
          <w:rFonts w:ascii="Arial" w:hAnsi="Arial" w:eastAsia="Arial" w:cs="Arial"/>
          <w:noProof w:val="0"/>
          <w:sz w:val="22"/>
          <w:szCs w:val="22"/>
          <w:lang w:val="es-ES"/>
        </w:rPr>
        <w:t>SEC</w:t>
      </w:r>
      <w:r w:rsidRPr="315C7FC5" w:rsidR="605D2F7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15C7FC5" w:rsidR="605D2F7F">
        <w:rPr>
          <w:rFonts w:ascii="Arial" w:hAnsi="Arial" w:eastAsia="Arial" w:cs="Arial"/>
          <w:noProof w:val="0"/>
          <w:sz w:val="22"/>
          <w:szCs w:val="22"/>
          <w:lang w:val="es-ES"/>
        </w:rPr>
        <w:t>Newgat</w:t>
      </w:r>
      <w:r w:rsidRPr="315C7FC5" w:rsidR="605D2F7F">
        <w:rPr>
          <w:rFonts w:ascii="Arial" w:hAnsi="Arial" w:eastAsia="Arial" w:cs="Arial"/>
          <w:noProof w:val="0"/>
          <w:sz w:val="22"/>
          <w:szCs w:val="22"/>
          <w:lang w:val="es-ES"/>
        </w:rPr>
        <w:t>e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, han sido seleccionadas con 16 casos como finalistas para los prestigiosos premios SABRE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Award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s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Lati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n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Americ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a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2024. Este reconocimiento destaca la gran diversidad de clientes y refleja la fortaleza de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a</w:t>
      </w:r>
      <w:r w:rsidRPr="315C7FC5" w:rsidR="29AB51CF">
        <w:rPr>
          <w:rFonts w:ascii="Arial" w:hAnsi="Arial" w:eastAsia="Arial" w:cs="Arial"/>
          <w:noProof w:val="0"/>
          <w:sz w:val="22"/>
          <w:szCs w:val="22"/>
          <w:lang w:val="es-ES"/>
        </w:rPr>
        <w:t>mbas</w:t>
      </w:r>
      <w:r w:rsidRPr="315C7FC5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diversas industrias y países de la región.</w:t>
      </w:r>
    </w:p>
    <w:p w:rsidR="246E214F" w:rsidP="7C6CC138" w:rsidRDefault="246E214F" w14:paraId="1B6D030B" w14:textId="6248A743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Con un impresionante total de 13 casos en 10 categorías, </w:t>
      </w:r>
      <w:r w:rsidRPr="7C6CC138" w:rsidR="756CAC3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another</w:t>
      </w:r>
      <w:r w:rsidRPr="7C6CC138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ha logrado un año récord, destacándose por su trabajo con 12 clientes en </w:t>
      </w:r>
      <w:r w:rsidRPr="7C6CC138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variadas industrias</w:t>
      </w:r>
      <w:r w:rsidRPr="7C6CC138" w:rsidR="50BC80B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como tecnología, </w:t>
      </w:r>
      <w:r w:rsidRPr="7C6CC138" w:rsidR="450BA6B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automotriz, </w:t>
      </w:r>
      <w:r w:rsidRPr="7C6CC138" w:rsidR="50BC80B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consumo, </w:t>
      </w:r>
      <w:r w:rsidRPr="7C6CC138" w:rsidR="69006AB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finanzas, </w:t>
      </w:r>
      <w:r w:rsidRPr="7C6CC138" w:rsidR="50BC80B1">
        <w:rPr>
          <w:rFonts w:ascii="Arial" w:hAnsi="Arial" w:eastAsia="Arial" w:cs="Arial"/>
          <w:noProof w:val="0"/>
          <w:sz w:val="22"/>
          <w:szCs w:val="22"/>
          <w:lang w:val="es-ES"/>
        </w:rPr>
        <w:t>belleza, turismo</w:t>
      </w:r>
      <w:r w:rsidRPr="7C6CC138" w:rsidR="10BC86CB">
        <w:rPr>
          <w:rFonts w:ascii="Arial" w:hAnsi="Arial" w:eastAsia="Arial" w:cs="Arial"/>
          <w:noProof w:val="0"/>
          <w:sz w:val="22"/>
          <w:szCs w:val="22"/>
          <w:lang w:val="es-ES"/>
        </w:rPr>
        <w:t>, por mencionar algunas</w:t>
      </w:r>
      <w:r w:rsidRPr="7C6CC138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r w:rsidRPr="7C6CC138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Por su parte, la agencia hermana SEC </w:t>
      </w:r>
      <w:r w:rsidRPr="7C6CC138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Newgate</w:t>
      </w:r>
      <w:r w:rsidRPr="7C6CC138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Colombia también ha sido reconocida con tres casos finalistas en estos importantes premios.</w:t>
      </w:r>
    </w:p>
    <w:p w:rsidR="246E214F" w:rsidP="315C7FC5" w:rsidRDefault="246E214F" w14:paraId="32A4DEF4" w14:textId="3AE3DAE7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</w:pPr>
      <w:r w:rsidRPr="315C7FC5" w:rsidR="756CAC3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"Estamos muy orgullosos de ver nuestro trabajo para nuestros grandes clientes reconocidos en un ranking tan prestigioso a nivel regional. Este ha sido un año récord para </w:t>
      </w:r>
      <w:r w:rsidRPr="315C7FC5" w:rsidR="756CAC3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another</w:t>
      </w:r>
      <w:r w:rsidRPr="315C7FC5" w:rsidR="756CAC3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, no s</w:t>
      </w:r>
      <w:r w:rsidRPr="315C7FC5" w:rsidR="60EFE70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ó</w:t>
      </w:r>
      <w:r w:rsidRPr="315C7FC5" w:rsidR="756CAC3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lo en términos de número de casos, sino también en la diversificación de industrias. Grandes felicitaciones a todos los equip</w:t>
      </w:r>
      <w:r w:rsidRPr="315C7FC5" w:rsidR="3A5E8C2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os</w:t>
      </w:r>
      <w:r w:rsidRPr="315C7FC5" w:rsidR="339BA45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”</w:t>
      </w:r>
      <w:r w:rsidRPr="315C7FC5" w:rsidR="339BA457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dijo </w:t>
      </w:r>
      <w:r w:rsidRPr="315C7FC5" w:rsidR="37DCA448">
        <w:rPr>
          <w:rFonts w:ascii="Arial" w:hAnsi="Arial" w:eastAsia="Arial" w:cs="Arial"/>
          <w:noProof w:val="0"/>
          <w:sz w:val="22"/>
          <w:szCs w:val="22"/>
          <w:lang w:val="es-ES"/>
        </w:rPr>
        <w:t>Ja</w:t>
      </w:r>
      <w:r w:rsidRPr="315C7FC5" w:rsidR="37DCA448">
        <w:rPr>
          <w:rFonts w:ascii="Arial" w:hAnsi="Arial" w:eastAsia="Arial" w:cs="Arial"/>
          <w:noProof w:val="0"/>
          <w:sz w:val="22"/>
          <w:szCs w:val="22"/>
          <w:lang w:val="es-ES"/>
        </w:rPr>
        <w:t>spar</w:t>
      </w:r>
      <w:r w:rsidRPr="315C7FC5" w:rsidR="37DCA44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15C7FC5" w:rsidR="37DCA448">
        <w:rPr>
          <w:rFonts w:ascii="Arial" w:hAnsi="Arial" w:eastAsia="Arial" w:cs="Arial"/>
          <w:noProof w:val="0"/>
          <w:sz w:val="22"/>
          <w:szCs w:val="22"/>
          <w:lang w:val="es-ES"/>
        </w:rPr>
        <w:t>E</w:t>
      </w:r>
      <w:r w:rsidRPr="315C7FC5" w:rsidR="37DCA448">
        <w:rPr>
          <w:rFonts w:ascii="Arial" w:hAnsi="Arial" w:eastAsia="Arial" w:cs="Arial"/>
          <w:noProof w:val="0"/>
          <w:sz w:val="22"/>
          <w:szCs w:val="22"/>
          <w:lang w:val="es-ES"/>
        </w:rPr>
        <w:t>y</w:t>
      </w:r>
      <w:r w:rsidRPr="315C7FC5" w:rsidR="37DCA448">
        <w:rPr>
          <w:rFonts w:ascii="Arial" w:hAnsi="Arial" w:eastAsia="Arial" w:cs="Arial"/>
          <w:noProof w:val="0"/>
          <w:sz w:val="22"/>
          <w:szCs w:val="22"/>
          <w:lang w:val="es-ES"/>
        </w:rPr>
        <w:t>ears</w:t>
      </w:r>
      <w:r w:rsidRPr="315C7FC5" w:rsidR="339BA457">
        <w:rPr>
          <w:rFonts w:ascii="Arial" w:hAnsi="Arial" w:eastAsia="Arial" w:cs="Arial"/>
          <w:noProof w:val="0"/>
          <w:sz w:val="22"/>
          <w:szCs w:val="22"/>
          <w:lang w:val="es-ES"/>
        </w:rPr>
        <w:t>,</w:t>
      </w:r>
      <w:r w:rsidRPr="315C7FC5" w:rsidR="10AB71C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15C7FC5" w:rsidR="10AB71CB">
        <w:rPr>
          <w:rFonts w:ascii="Arial" w:hAnsi="Arial" w:eastAsia="Arial" w:cs="Arial"/>
          <w:noProof w:val="0"/>
          <w:sz w:val="22"/>
          <w:szCs w:val="22"/>
          <w:lang w:val="es-ES"/>
        </w:rPr>
        <w:t>CEO</w:t>
      </w:r>
      <w:r w:rsidRPr="315C7FC5" w:rsidR="339BA457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</w:t>
      </w:r>
      <w:hyperlink r:id="Rad68c6816d714eac">
        <w:r w:rsidRPr="315C7FC5" w:rsidR="339BA457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an</w:t>
        </w:r>
        <w:r w:rsidRPr="315C7FC5" w:rsidR="339BA457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other</w:t>
        </w:r>
      </w:hyperlink>
      <w:r w:rsidRPr="315C7FC5" w:rsidR="339BA45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.</w:t>
      </w:r>
    </w:p>
    <w:p w:rsidR="246E214F" w:rsidP="7C6CC138" w:rsidRDefault="246E214F" w14:paraId="0CA4EEE0" w14:textId="1C155DE7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7C6CC138" w:rsidR="339BA45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Desde el pasado mes de diciembre de 2022, el grupo </w:t>
      </w:r>
      <w:r w:rsidRPr="7C6CC138" w:rsidR="21783BF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global </w:t>
      </w:r>
      <w:r w:rsidRPr="7C6CC138" w:rsidR="339BA45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SEC </w:t>
      </w:r>
      <w:r w:rsidRPr="7C6CC138" w:rsidR="339BA45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Newgate</w:t>
      </w:r>
      <w:r w:rsidRPr="7C6CC138" w:rsidR="339BA45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adquir</w:t>
      </w:r>
      <w:r w:rsidRPr="7C6CC138" w:rsidR="166ADD0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ió el 70% de participación de la agencia </w:t>
      </w:r>
      <w:r w:rsidRPr="7C6CC138" w:rsidR="166ADD05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another</w:t>
      </w:r>
      <w:r w:rsidRPr="7C6CC138" w:rsidR="166ADD0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cuya presencia en comunicaciones estratégicas e </w:t>
      </w:r>
      <w:r w:rsidRPr="7C6CC138" w:rsidR="166ADD0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influencer</w:t>
      </w:r>
      <w:r w:rsidRPr="7C6CC138" w:rsidR="166ADD0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marketing tiene la mayor oferta en América Latina</w:t>
      </w:r>
      <w:r w:rsidRPr="7C6CC138" w:rsidR="60C2239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. Después de SEC </w:t>
      </w:r>
      <w:r w:rsidRPr="7C6CC138" w:rsidR="60C2239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Newgate</w:t>
      </w:r>
      <w:r w:rsidRPr="7C6CC138" w:rsidR="60C2239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Colombia, líder en este país, </w:t>
      </w:r>
      <w:r w:rsidRPr="7C6CC138" w:rsidR="60C2239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another</w:t>
      </w:r>
      <w:r w:rsidRPr="7C6CC138" w:rsidR="60C2239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C6CC138" w:rsidR="60C2239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se convierte en parte de dicha familia global</w:t>
      </w:r>
      <w:r w:rsidRPr="7C6CC138" w:rsidR="76FF13E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con una </w:t>
      </w:r>
      <w:r w:rsidRPr="7C6CC138" w:rsidR="76FF13E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amp</w:t>
      </w:r>
      <w:r w:rsidRPr="7C6CC138" w:rsidR="76FF13E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lia presencia en la región. </w:t>
      </w:r>
    </w:p>
    <w:p w:rsidR="246E214F" w:rsidP="7C6CC138" w:rsidRDefault="246E214F" w14:paraId="0F629435" w14:textId="6E670539">
      <w:pPr>
        <w:spacing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702B508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"Desde SEC </w:t>
      </w:r>
      <w:r w:rsidRPr="7C6CC138" w:rsidR="702B508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Newgate</w:t>
      </w:r>
      <w:r w:rsidRPr="7C6CC138" w:rsidR="702B508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Colombia estamos muy contentos al ver que nuestro compromiso con la </w:t>
      </w:r>
      <w:r w:rsidRPr="7C6CC138" w:rsidR="7E09EFC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excelencia es</w:t>
      </w:r>
      <w:r w:rsidRPr="7C6CC138" w:rsidR="702B508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reconocido, en donde el 100% de los casos que presentamos son finalistas en sus respectivas categorías. Pensamiento estratégico de un equipo </w:t>
      </w:r>
      <w:r w:rsidRPr="7C6CC138" w:rsidR="497730A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multidisciplinario</w:t>
      </w:r>
      <w:r w:rsidRPr="7C6CC138" w:rsidR="702B508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creatividad, construcción colaborativa con nuestros clientes y ejecución impecable es realmente el camino efectivo para trascender en el mundo hiper conectado de hoy"</w:t>
      </w:r>
      <w:r w:rsidRPr="7C6CC138" w:rsidR="702B50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7C6CC138" w:rsidR="3125C6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comenta</w:t>
      </w:r>
      <w:r w:rsidRPr="7C6CC138" w:rsidR="3EF992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7C6CC138" w:rsidR="3EF992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Mateo Mora</w:t>
      </w:r>
      <w:r w:rsidRPr="7C6CC138" w:rsidR="58B38F5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7C6CC138" w:rsidR="58B38F59">
        <w:rPr>
          <w:rFonts w:ascii="Arial" w:hAnsi="Arial" w:eastAsia="Arial" w:cs="Arial"/>
          <w:noProof w:val="0"/>
          <w:sz w:val="22"/>
          <w:szCs w:val="22"/>
          <w:lang w:val="es-ES"/>
        </w:rPr>
        <w:t>Partner</w:t>
      </w:r>
      <w:r w:rsidRPr="7C6CC138" w:rsidR="58B38F5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7C6CC138" w:rsidR="3EF992E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 SEC </w:t>
      </w:r>
      <w:r w:rsidRPr="7C6CC138" w:rsidR="3EF992EE">
        <w:rPr>
          <w:rFonts w:ascii="Arial" w:hAnsi="Arial" w:eastAsia="Arial" w:cs="Arial"/>
          <w:noProof w:val="0"/>
          <w:sz w:val="22"/>
          <w:szCs w:val="22"/>
          <w:lang w:val="es-ES"/>
        </w:rPr>
        <w:t>Ne</w:t>
      </w:r>
      <w:r w:rsidRPr="7C6CC138" w:rsidR="3EF992EE">
        <w:rPr>
          <w:rFonts w:ascii="Arial" w:hAnsi="Arial" w:eastAsia="Arial" w:cs="Arial"/>
          <w:noProof w:val="0"/>
          <w:sz w:val="22"/>
          <w:szCs w:val="22"/>
          <w:lang w:val="es-ES"/>
        </w:rPr>
        <w:t>wgate</w:t>
      </w:r>
      <w:r w:rsidRPr="7C6CC138" w:rsidR="3EF992E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</w:t>
      </w:r>
      <w:r w:rsidRPr="7C6CC138" w:rsidR="3EF992EE">
        <w:rPr>
          <w:rFonts w:ascii="Arial" w:hAnsi="Arial" w:eastAsia="Arial" w:cs="Arial"/>
          <w:noProof w:val="0"/>
          <w:sz w:val="22"/>
          <w:szCs w:val="22"/>
          <w:lang w:val="es-ES"/>
        </w:rPr>
        <w:t>lombia</w:t>
      </w:r>
      <w:r w:rsidRPr="7C6CC138" w:rsidR="1B0D29D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</w:t>
      </w:r>
    </w:p>
    <w:p w:rsidR="246E214F" w:rsidP="7C6CC138" w:rsidRDefault="246E214F" w14:paraId="76999471" w14:textId="0DECA9C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Las categorías y casos en los que </w:t>
      </w:r>
      <w:r w:rsidRPr="7C6CC138" w:rsidR="756CAC3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another</w:t>
      </w:r>
      <w:r w:rsidRPr="7C6CC138" w:rsidR="756CAC3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C6CC138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ha sido seleccionado son</w:t>
      </w:r>
      <w:r w:rsidRPr="7C6CC138" w:rsidR="07239BF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los siguientes</w:t>
      </w:r>
      <w:r w:rsidRPr="7C6CC138" w:rsidR="756CAC33">
        <w:rPr>
          <w:rFonts w:ascii="Arial" w:hAnsi="Arial" w:eastAsia="Arial" w:cs="Arial"/>
          <w:noProof w:val="0"/>
          <w:sz w:val="22"/>
          <w:szCs w:val="22"/>
          <w:lang w:val="es-ES"/>
        </w:rPr>
        <w:t>:</w:t>
      </w:r>
    </w:p>
    <w:p w:rsidR="0EB71E52" w:rsidP="7C6CC138" w:rsidRDefault="0EB71E52" w14:paraId="5A8611E4" w14:textId="6587079B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Central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America</w:t>
      </w:r>
    </w:p>
    <w:p w:rsidR="0EB71E52" w:rsidP="7C6CC138" w:rsidRDefault="0EB71E52" w14:paraId="14D63B8C" w14:textId="48A1E4D1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Huawei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lights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up Central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America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— Huawei</w:t>
      </w:r>
    </w:p>
    <w:p w:rsidR="0EB71E52" w:rsidP="7C6CC138" w:rsidRDefault="0EB71E52" w14:paraId="025DC8B8" w14:textId="699535FF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Crisis / Issues Management</w:t>
      </w:r>
    </w:p>
    <w:p w:rsidR="0EB71E52" w:rsidP="7C6CC138" w:rsidRDefault="0EB71E52" w14:paraId="2C95CB2E" w14:textId="18939C60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Pacto por tu Seguridad —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inDrive</w:t>
      </w:r>
    </w:p>
    <w:p w:rsidR="0EB71E52" w:rsidP="7C6CC138" w:rsidRDefault="0EB71E52" w14:paraId="69883064" w14:textId="75883803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Integrated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Marketing</w:t>
      </w:r>
    </w:p>
    <w:p w:rsidR="0EB71E52" w:rsidP="7C6CC138" w:rsidRDefault="0EB71E52" w14:paraId="1D3186F4" w14:textId="1DC60996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New Era x Diablos Rojos del México — New Era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Cap</w:t>
      </w:r>
    </w:p>
    <w:p w:rsidR="0EB71E52" w:rsidP="7C6CC138" w:rsidRDefault="0EB71E52" w14:paraId="5731D7E7" w14:textId="5AE92D70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Marketing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to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Consumer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(New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Product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)</w:t>
      </w:r>
    </w:p>
    <w:p w:rsidR="0EB71E52" w:rsidP="7C6CC138" w:rsidRDefault="0EB71E52" w14:paraId="6AF3DDAF" w14:textId="63F6D9BE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Bringing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Bespoke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AI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to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the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masses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— Samsung</w:t>
      </w:r>
      <w:r w:rsidRPr="7C6CC138" w:rsidR="38EE1AF0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México</w:t>
      </w:r>
    </w:p>
    <w:p w:rsidR="0EB71E52" w:rsidP="7C6CC138" w:rsidRDefault="0EB71E52" w14:paraId="1DCE543C" w14:textId="0C879C9D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Chirey's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strategic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entrance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into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the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Mexican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market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—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Chirey</w:t>
      </w:r>
    </w:p>
    <w:p w:rsidR="0EB71E52" w:rsidP="7C6CC138" w:rsidRDefault="0EB71E52" w14:paraId="1CDB138D" w14:textId="3224B5D4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Marketing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to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Consumers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(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Existing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Product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)</w:t>
      </w:r>
    </w:p>
    <w:p w:rsidR="0EB71E52" w:rsidP="7C6CC138" w:rsidRDefault="0EB71E52" w14:paraId="05BC353D" w14:textId="65111102">
      <w:pPr>
        <w:pStyle w:val="ListParagraph"/>
        <w:numPr>
          <w:ilvl w:val="0"/>
          <w:numId w:val="5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Mega House: A Music Festival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Experience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by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Helados Nestlé — Helados Nestlé</w:t>
      </w:r>
    </w:p>
    <w:p w:rsidR="0EB71E52" w:rsidP="7C6CC138" w:rsidRDefault="0EB71E52" w14:paraId="388C49F5" w14:textId="7781B3E2">
      <w:pPr>
        <w:pStyle w:val="ListParagraph"/>
        <w:numPr>
          <w:ilvl w:val="0"/>
          <w:numId w:val="5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The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Macallan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-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unrivalled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craftsmanship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—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The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Macallan</w:t>
      </w:r>
    </w:p>
    <w:p w:rsidR="0EB71E52" w:rsidP="7C6CC138" w:rsidRDefault="0EB71E52" w14:paraId="55744944" w14:textId="44C66C86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Public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Affairs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/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Government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Relations</w:t>
      </w:r>
    </w:p>
    <w:p w:rsidR="0EB71E52" w:rsidP="7C6CC138" w:rsidRDefault="0EB71E52" w14:paraId="7E61A103" w14:textId="2F26EBA3"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Pacto por tu Seguridad —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inDrive</w:t>
      </w:r>
    </w:p>
    <w:p w:rsidR="0EB71E52" w:rsidP="7C6CC138" w:rsidRDefault="0EB71E52" w14:paraId="51971C10" w14:textId="259DBE8A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Fashion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&amp;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Beauty</w:t>
      </w:r>
    </w:p>
    <w:p w:rsidR="0EB71E52" w:rsidP="7C6CC138" w:rsidRDefault="0EB71E52" w14:paraId="7D7C5FD8" w14:textId="23094021">
      <w:pPr>
        <w:pStyle w:val="ListParagraph"/>
        <w:numPr>
          <w:ilvl w:val="0"/>
          <w:numId w:val="7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Bringing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London and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the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Med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to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Mexico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City: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launch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of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the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Kurt Geiger x Matthew Williamson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collection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— Kurt Geiger</w:t>
      </w:r>
    </w:p>
    <w:p w:rsidR="0EB71E52" w:rsidP="7C6CC138" w:rsidRDefault="0EB71E52" w14:paraId="3979A4B1" w14:textId="390859F1">
      <w:pPr>
        <w:pStyle w:val="ListParagraph"/>
        <w:numPr>
          <w:ilvl w:val="0"/>
          <w:numId w:val="7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Invenciblemente Fresca —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Secret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- P&amp;G</w:t>
      </w:r>
    </w:p>
    <w:p w:rsidR="0EB71E52" w:rsidP="7C6CC138" w:rsidRDefault="0EB71E52" w14:paraId="3B256345" w14:textId="414AA501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Financial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and Professional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Services</w:t>
      </w:r>
    </w:p>
    <w:p w:rsidR="0EB71E52" w:rsidP="7C6CC138" w:rsidRDefault="0EB71E52" w14:paraId="00E71646" w14:textId="33C26B24">
      <w:pPr>
        <w:pStyle w:val="ListParagraph"/>
        <w:numPr>
          <w:ilvl w:val="0"/>
          <w:numId w:val="8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Números que hablan — Fiserv</w:t>
      </w:r>
    </w:p>
    <w:p w:rsidR="0EB71E52" w:rsidP="7C6CC138" w:rsidRDefault="0EB71E52" w14:paraId="0CAC45A0" w14:textId="03383A5A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Technology</w:t>
      </w:r>
    </w:p>
    <w:p w:rsidR="0EB71E52" w:rsidP="7C6CC138" w:rsidRDefault="0EB71E52" w14:paraId="018EF0C0" w14:textId="763F2547">
      <w:pPr>
        <w:pStyle w:val="ListParagraph"/>
        <w:numPr>
          <w:ilvl w:val="0"/>
          <w:numId w:val="9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46A6884E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aking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Buen Fin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synonymous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with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Mercado Libre! — Mercado Libre</w:t>
      </w:r>
    </w:p>
    <w:p w:rsidR="0EB71E52" w:rsidP="7C6CC138" w:rsidRDefault="0EB71E52" w14:paraId="0AEF61D9" w14:textId="3DCF1439">
      <w:pPr>
        <w:pStyle w:val="Normal"/>
        <w:ind w:left="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Travel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&amp;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Leisure</w:t>
      </w:r>
    </w:p>
    <w:p w:rsidR="0EB71E52" w:rsidP="7C6CC138" w:rsidRDefault="0EB71E52" w14:paraId="03E6B8C2" w14:textId="2B607B75">
      <w:pPr>
        <w:pStyle w:val="ListParagraph"/>
        <w:numPr>
          <w:ilvl w:val="0"/>
          <w:numId w:val="10"/>
        </w:numPr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W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Mexico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City and Warner: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reimagining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the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Barbie and Wonka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movie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experience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— W </w:t>
      </w:r>
      <w:r w:rsidRPr="7C6CC138" w:rsidR="0EB71E5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Hotels</w:t>
      </w:r>
    </w:p>
    <w:p w:rsidR="246E214F" w:rsidP="7C6CC138" w:rsidRDefault="246E214F" w14:paraId="5708B1D6" w14:textId="3241228B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Los premios SABRE 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>Awards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>Latin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>America</w:t>
      </w:r>
      <w:r w:rsidRPr="7C6CC138" w:rsidR="25755F7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2024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reconocen </w:t>
      </w:r>
      <w:r w:rsidRPr="7C6CC138" w:rsidR="73E298AC">
        <w:rPr>
          <w:rFonts w:ascii="Arial" w:hAnsi="Arial" w:eastAsia="Arial" w:cs="Arial"/>
          <w:noProof w:val="0"/>
          <w:sz w:val="22"/>
          <w:szCs w:val="22"/>
          <w:lang w:val="es-ES"/>
        </w:rPr>
        <w:t>los logros superiores en marca, reputación y compromiso.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Un jurado de más de 25 líderes de la industria evalu</w:t>
      </w:r>
      <w:r w:rsidRPr="7C6CC138" w:rsidR="72DF61B9">
        <w:rPr>
          <w:rFonts w:ascii="Arial" w:hAnsi="Arial" w:eastAsia="Arial" w:cs="Arial"/>
          <w:noProof w:val="0"/>
          <w:sz w:val="22"/>
          <w:szCs w:val="22"/>
          <w:lang w:val="es-ES"/>
        </w:rPr>
        <w:t>ará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las campañas</w:t>
      </w:r>
      <w:r w:rsidRPr="7C6CC138" w:rsidR="7090289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casos finalistas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Los ganadores se anunciarán durante la ceremonia de los premios SABRE que se llevará a cabo el 24 de septiembre en São Paulo, Brasil, en el Hotel 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>Tivoli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>Mofarrej</w:t>
      </w:r>
      <w:r w:rsidRPr="7C6CC138" w:rsidR="595204F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São Paulo.</w:t>
      </w:r>
    </w:p>
    <w:p w:rsidR="246E214F" w:rsidP="7C6CC138" w:rsidRDefault="246E214F" w14:paraId="4CF9010C" w14:textId="311D68FD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7C6CC138" w:rsidR="595204F6">
        <w:rPr>
          <w:rFonts w:ascii="Arial" w:hAnsi="Arial" w:eastAsia="Arial" w:cs="Arial"/>
          <w:b w:val="1"/>
          <w:bCs w:val="1"/>
          <w:sz w:val="22"/>
          <w:szCs w:val="22"/>
        </w:rPr>
        <w:t>###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3gtIq5mwE8HH" int2:id="EDq2KaAQ">
      <int2:state int2:type="AugLoop_Text_Critique" int2:value="Rejected"/>
    </int2:textHash>
    <int2:textHash int2:hashCode="t8j/uPvGfBcTKO" int2:id="Jru3EaRk">
      <int2:state int2:type="AugLoop_Text_Critique" int2:value="Rejected"/>
    </int2:textHash>
    <int2:textHash int2:hashCode="OdLPXkpMUVOB0j" int2:id="VAtKcM29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17316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a370d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af35a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a7ddf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102bc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d17e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db88b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fe2d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5c1a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d727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8e39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6d4ff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725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06127A"/>
    <w:rsid w:val="000C6C93"/>
    <w:rsid w:val="01974A83"/>
    <w:rsid w:val="023C4491"/>
    <w:rsid w:val="02BED88C"/>
    <w:rsid w:val="03401106"/>
    <w:rsid w:val="03730BE8"/>
    <w:rsid w:val="03CFB9F6"/>
    <w:rsid w:val="065F8B01"/>
    <w:rsid w:val="066DC723"/>
    <w:rsid w:val="07239BF9"/>
    <w:rsid w:val="07E5F0E8"/>
    <w:rsid w:val="09CB4B22"/>
    <w:rsid w:val="0B309F81"/>
    <w:rsid w:val="0BB600E7"/>
    <w:rsid w:val="0C6B5AC1"/>
    <w:rsid w:val="0EB71E52"/>
    <w:rsid w:val="0ED960AA"/>
    <w:rsid w:val="0EFEEC75"/>
    <w:rsid w:val="0F7526C6"/>
    <w:rsid w:val="0FB59568"/>
    <w:rsid w:val="1022D4DD"/>
    <w:rsid w:val="10AB71CB"/>
    <w:rsid w:val="10BC86CB"/>
    <w:rsid w:val="1100374D"/>
    <w:rsid w:val="1271D2C3"/>
    <w:rsid w:val="14616AEB"/>
    <w:rsid w:val="1488665A"/>
    <w:rsid w:val="14EAC0FC"/>
    <w:rsid w:val="166ADD05"/>
    <w:rsid w:val="16A749A3"/>
    <w:rsid w:val="1823EB92"/>
    <w:rsid w:val="1920718A"/>
    <w:rsid w:val="19C7052E"/>
    <w:rsid w:val="1B0D29D0"/>
    <w:rsid w:val="1E7C8155"/>
    <w:rsid w:val="1EAAB0CF"/>
    <w:rsid w:val="1EEE41C2"/>
    <w:rsid w:val="202CAC76"/>
    <w:rsid w:val="215C82D5"/>
    <w:rsid w:val="21783BFB"/>
    <w:rsid w:val="21F831DB"/>
    <w:rsid w:val="23C7EBBA"/>
    <w:rsid w:val="246E214F"/>
    <w:rsid w:val="25755F7F"/>
    <w:rsid w:val="26415A53"/>
    <w:rsid w:val="27223C8C"/>
    <w:rsid w:val="2739A492"/>
    <w:rsid w:val="275EEB55"/>
    <w:rsid w:val="28FF263B"/>
    <w:rsid w:val="29AB51CF"/>
    <w:rsid w:val="2A957587"/>
    <w:rsid w:val="2B072F17"/>
    <w:rsid w:val="2BE4A4AB"/>
    <w:rsid w:val="2C0C18DE"/>
    <w:rsid w:val="2FC562A3"/>
    <w:rsid w:val="3125C6BB"/>
    <w:rsid w:val="315C7FC5"/>
    <w:rsid w:val="32A906EC"/>
    <w:rsid w:val="32A94DF6"/>
    <w:rsid w:val="32C3E7FB"/>
    <w:rsid w:val="32D4BACF"/>
    <w:rsid w:val="339BA457"/>
    <w:rsid w:val="35724BB1"/>
    <w:rsid w:val="35E0217C"/>
    <w:rsid w:val="37DCA448"/>
    <w:rsid w:val="380C3A2D"/>
    <w:rsid w:val="3835392F"/>
    <w:rsid w:val="38EE1AF0"/>
    <w:rsid w:val="3A5E8C2A"/>
    <w:rsid w:val="3AE42835"/>
    <w:rsid w:val="3C7AEA4C"/>
    <w:rsid w:val="3C9732FE"/>
    <w:rsid w:val="3DB02897"/>
    <w:rsid w:val="3EF992EE"/>
    <w:rsid w:val="3F0D1911"/>
    <w:rsid w:val="4116EF6F"/>
    <w:rsid w:val="41D3E4EE"/>
    <w:rsid w:val="43DF3FBB"/>
    <w:rsid w:val="44EFD97C"/>
    <w:rsid w:val="450BA6B2"/>
    <w:rsid w:val="46048854"/>
    <w:rsid w:val="468D86A9"/>
    <w:rsid w:val="46A6884E"/>
    <w:rsid w:val="48F8B04E"/>
    <w:rsid w:val="4944C6D0"/>
    <w:rsid w:val="497730A6"/>
    <w:rsid w:val="4AD9B256"/>
    <w:rsid w:val="4BB5D463"/>
    <w:rsid w:val="4CFA6D52"/>
    <w:rsid w:val="50BC80B1"/>
    <w:rsid w:val="58B38F59"/>
    <w:rsid w:val="595204F6"/>
    <w:rsid w:val="596E9A79"/>
    <w:rsid w:val="6006127A"/>
    <w:rsid w:val="605D2F7F"/>
    <w:rsid w:val="60C2239D"/>
    <w:rsid w:val="60EFE70A"/>
    <w:rsid w:val="627158C3"/>
    <w:rsid w:val="628209CC"/>
    <w:rsid w:val="67715C8E"/>
    <w:rsid w:val="67BC8FFB"/>
    <w:rsid w:val="687EC90B"/>
    <w:rsid w:val="69006ABA"/>
    <w:rsid w:val="698BDDF4"/>
    <w:rsid w:val="6D4C9557"/>
    <w:rsid w:val="6D94684D"/>
    <w:rsid w:val="6DE53985"/>
    <w:rsid w:val="6EB42121"/>
    <w:rsid w:val="702B508E"/>
    <w:rsid w:val="7090289A"/>
    <w:rsid w:val="72DF61B9"/>
    <w:rsid w:val="73E298AC"/>
    <w:rsid w:val="746A4FA0"/>
    <w:rsid w:val="74A6169B"/>
    <w:rsid w:val="756CAC33"/>
    <w:rsid w:val="7659DE51"/>
    <w:rsid w:val="76FF13E8"/>
    <w:rsid w:val="774A8402"/>
    <w:rsid w:val="77737C70"/>
    <w:rsid w:val="77BDBEC6"/>
    <w:rsid w:val="7AE101C3"/>
    <w:rsid w:val="7C6CC138"/>
    <w:rsid w:val="7E09EFC7"/>
    <w:rsid w:val="7E8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127A"/>
  <w15:chartTrackingRefBased/>
  <w15:docId w15:val="{18C61B8A-DA5D-448E-880F-BC87A3DC57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87c674774414738" /><Relationship Type="http://schemas.openxmlformats.org/officeDocument/2006/relationships/numbering" Target="numbering.xml" Id="R0e002101bebe4876" /><Relationship Type="http://schemas.openxmlformats.org/officeDocument/2006/relationships/hyperlink" Target="https://another.co/?utm_source=M%C3%A9xico+another+y+SEC+Newgate+Colombia&amp;utm_medium=M%C3%A9xico+another+y+SEC+Newgate+Colombia&amp;utm_campaign=M%C3%A9xico+another+y+SEC+Newgate+Colombia&amp;utm_id=PR+M%C3%A9xico+another+SEC+Newgate+Colombia" TargetMode="External" Id="Rad68c6816d714ea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1A4366FE-BFF3-4EDC-99FB-41F34BB97E92}"/>
</file>

<file path=customXml/itemProps2.xml><?xml version="1.0" encoding="utf-8"?>
<ds:datastoreItem xmlns:ds="http://schemas.openxmlformats.org/officeDocument/2006/customXml" ds:itemID="{998F001A-900B-48E0-B77B-82839A00D715}"/>
</file>

<file path=customXml/itemProps3.xml><?xml version="1.0" encoding="utf-8"?>
<ds:datastoreItem xmlns:ds="http://schemas.openxmlformats.org/officeDocument/2006/customXml" ds:itemID="{16000CFE-F0EF-42EB-8857-6B0B0510E0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2024-08-08T15:55:08.0000000Z</dcterms:created>
  <dcterms:modified xsi:type="dcterms:W3CDTF">2024-08-08T21:02:18.5695232Z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